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CC752" w14:textId="712ECD48" w:rsidR="004B5188" w:rsidRPr="0040302B" w:rsidRDefault="005E607D" w:rsidP="0040302B">
      <w:pPr>
        <w:jc w:val="center"/>
        <w:rPr>
          <w:b/>
          <w:bCs/>
          <w:u w:val="single"/>
          <w:lang w:val="en-US"/>
        </w:rPr>
      </w:pPr>
      <w:r w:rsidRPr="0040302B">
        <w:rPr>
          <w:b/>
          <w:bCs/>
          <w:u w:val="single"/>
          <w:lang w:val="en-US"/>
        </w:rPr>
        <w:t xml:space="preserve">Addendum: Changes after </w:t>
      </w:r>
      <w:r w:rsidR="00DF1772">
        <w:rPr>
          <w:b/>
          <w:bCs/>
          <w:u w:val="single"/>
          <w:lang w:val="en-US"/>
        </w:rPr>
        <w:t>C</w:t>
      </w:r>
      <w:r w:rsidR="0040302B" w:rsidRPr="0040302B">
        <w:rPr>
          <w:b/>
          <w:bCs/>
          <w:u w:val="single"/>
          <w:lang w:val="en-US"/>
        </w:rPr>
        <w:t xml:space="preserve">reating the </w:t>
      </w:r>
      <w:r w:rsidR="00DF1772">
        <w:rPr>
          <w:b/>
          <w:bCs/>
          <w:u w:val="single"/>
          <w:lang w:val="en-US"/>
        </w:rPr>
        <w:t>F</w:t>
      </w:r>
      <w:r w:rsidR="0040302B" w:rsidRPr="0040302B">
        <w:rPr>
          <w:b/>
          <w:bCs/>
          <w:u w:val="single"/>
          <w:lang w:val="en-US"/>
        </w:rPr>
        <w:t xml:space="preserve">inal </w:t>
      </w:r>
      <w:r w:rsidR="00DF1772">
        <w:rPr>
          <w:b/>
          <w:bCs/>
          <w:u w:val="single"/>
          <w:lang w:val="en-US"/>
        </w:rPr>
        <w:t>P</w:t>
      </w:r>
      <w:r w:rsidR="00E0041C" w:rsidRPr="0040302B">
        <w:rPr>
          <w:b/>
          <w:bCs/>
          <w:u w:val="single"/>
          <w:lang w:val="en-US"/>
        </w:rPr>
        <w:t>rogram</w:t>
      </w:r>
      <w:r w:rsidRPr="0040302B">
        <w:rPr>
          <w:b/>
          <w:bCs/>
          <w:u w:val="single"/>
          <w:lang w:val="en-US"/>
        </w:rPr>
        <w:t>:</w:t>
      </w:r>
    </w:p>
    <w:p w14:paraId="6B328320" w14:textId="77777777" w:rsidR="00FC314B" w:rsidRPr="00EA24AF" w:rsidRDefault="00FC314B" w:rsidP="00FC314B">
      <w:pPr>
        <w:pStyle w:val="ListParagraph"/>
        <w:numPr>
          <w:ilvl w:val="0"/>
          <w:numId w:val="1"/>
        </w:numPr>
        <w:rPr>
          <w:lang w:val="en-US"/>
        </w:rPr>
      </w:pPr>
      <w:r>
        <w:rPr>
          <w:lang w:val="en-US"/>
        </w:rPr>
        <w:t>On Monday, July 13 GROWTH (Current trends in growth and metabolism of fishes) IRC 6, the following presentation:</w:t>
      </w:r>
    </w:p>
    <w:tbl>
      <w:tblPr>
        <w:tblStyle w:val="TableGrid"/>
        <w:tblW w:w="0" w:type="auto"/>
        <w:tblLook w:val="04A0" w:firstRow="1" w:lastRow="0" w:firstColumn="1" w:lastColumn="0" w:noHBand="0" w:noVBand="1"/>
      </w:tblPr>
      <w:tblGrid>
        <w:gridCol w:w="1615"/>
        <w:gridCol w:w="5400"/>
        <w:gridCol w:w="2335"/>
      </w:tblGrid>
      <w:tr w:rsidR="00FC314B" w:rsidRPr="00F56EED" w14:paraId="2E3C53CF" w14:textId="77777777" w:rsidTr="00D27351">
        <w:tc>
          <w:tcPr>
            <w:tcW w:w="1615" w:type="dxa"/>
            <w:tcBorders>
              <w:top w:val="single" w:sz="4" w:space="0" w:color="auto"/>
              <w:left w:val="single" w:sz="4" w:space="0" w:color="auto"/>
              <w:bottom w:val="single" w:sz="4" w:space="0" w:color="auto"/>
              <w:right w:val="single" w:sz="4" w:space="0" w:color="auto"/>
            </w:tcBorders>
            <w:hideMark/>
          </w:tcPr>
          <w:p w14:paraId="0BDD6527" w14:textId="77777777" w:rsidR="00FC314B" w:rsidRPr="00F56EED" w:rsidRDefault="00FC314B" w:rsidP="00D27351">
            <w:pPr>
              <w:spacing w:after="160" w:line="278" w:lineRule="auto"/>
              <w:rPr>
                <w:rFonts w:ascii="Calibri" w:hAnsi="Calibri" w:cs="Calibri"/>
                <w:sz w:val="22"/>
                <w:szCs w:val="22"/>
              </w:rPr>
            </w:pPr>
            <w:r w:rsidRPr="00F56EED">
              <w:rPr>
                <w:rFonts w:ascii="Calibri" w:hAnsi="Calibri" w:cs="Calibri"/>
                <w:sz w:val="22"/>
                <w:szCs w:val="22"/>
              </w:rPr>
              <w:t>17:15</w:t>
            </w:r>
          </w:p>
        </w:tc>
        <w:tc>
          <w:tcPr>
            <w:tcW w:w="5400" w:type="dxa"/>
            <w:tcBorders>
              <w:top w:val="single" w:sz="4" w:space="0" w:color="auto"/>
              <w:left w:val="single" w:sz="4" w:space="0" w:color="auto"/>
              <w:bottom w:val="single" w:sz="4" w:space="0" w:color="auto"/>
              <w:right w:val="single" w:sz="4" w:space="0" w:color="auto"/>
            </w:tcBorders>
            <w:hideMark/>
          </w:tcPr>
          <w:p w14:paraId="477E4CD4" w14:textId="77777777" w:rsidR="00FC314B" w:rsidRPr="00F56EED" w:rsidRDefault="00FC314B" w:rsidP="00D27351">
            <w:pPr>
              <w:rPr>
                <w:rFonts w:ascii="Calibri" w:hAnsi="Calibri" w:cs="Calibri"/>
                <w:color w:val="000000"/>
                <w:sz w:val="22"/>
                <w:szCs w:val="22"/>
              </w:rPr>
            </w:pPr>
            <w:bookmarkStart w:id="0" w:name="_Hlk233382003"/>
            <w:r>
              <w:rPr>
                <w:rFonts w:ascii="Calibri" w:hAnsi="Calibri" w:cs="Calibri"/>
                <w:color w:val="000000"/>
                <w:sz w:val="22"/>
                <w:szCs w:val="22"/>
              </w:rPr>
              <w:t>Artificial light including blue-green wavelengths promote growth of Rachycentron canadum with mRNA upregulation of appetite, growth axis and lipid synthesis</w:t>
            </w:r>
            <w:bookmarkEnd w:id="0"/>
          </w:p>
        </w:tc>
        <w:tc>
          <w:tcPr>
            <w:tcW w:w="2335" w:type="dxa"/>
            <w:tcBorders>
              <w:top w:val="single" w:sz="4" w:space="0" w:color="auto"/>
              <w:left w:val="single" w:sz="4" w:space="0" w:color="auto"/>
              <w:bottom w:val="single" w:sz="4" w:space="0" w:color="auto"/>
              <w:right w:val="single" w:sz="4" w:space="0" w:color="auto"/>
            </w:tcBorders>
            <w:hideMark/>
          </w:tcPr>
          <w:p w14:paraId="53563BAE" w14:textId="77777777" w:rsidR="00FC314B" w:rsidRPr="00F56EED" w:rsidRDefault="00FC314B" w:rsidP="00D27351">
            <w:pPr>
              <w:rPr>
                <w:rFonts w:ascii="Calibri" w:hAnsi="Calibri" w:cs="Calibri"/>
                <w:color w:val="000000"/>
                <w:sz w:val="22"/>
                <w:szCs w:val="22"/>
              </w:rPr>
            </w:pPr>
            <w:r>
              <w:rPr>
                <w:rFonts w:ascii="Calibri" w:hAnsi="Calibri" w:cs="Calibri"/>
                <w:color w:val="000000"/>
                <w:sz w:val="22"/>
                <w:szCs w:val="22"/>
              </w:rPr>
              <w:t xml:space="preserve">Zhu, </w:t>
            </w:r>
            <w:proofErr w:type="spellStart"/>
            <w:r>
              <w:rPr>
                <w:rFonts w:ascii="Calibri" w:hAnsi="Calibri" w:cs="Calibri"/>
                <w:color w:val="000000"/>
                <w:sz w:val="22"/>
                <w:szCs w:val="22"/>
              </w:rPr>
              <w:t>Yafan</w:t>
            </w:r>
            <w:proofErr w:type="spellEnd"/>
          </w:p>
        </w:tc>
      </w:tr>
    </w:tbl>
    <w:p w14:paraId="5B67FE9E" w14:textId="77777777" w:rsidR="00FC314B" w:rsidRDefault="00FC314B" w:rsidP="00FC314B">
      <w:pPr>
        <w:rPr>
          <w:lang w:val="en-US"/>
        </w:rPr>
      </w:pPr>
    </w:p>
    <w:p w14:paraId="0E160100" w14:textId="6D5E7B52" w:rsidR="00FC314B" w:rsidRPr="00BB065B" w:rsidRDefault="00FC314B" w:rsidP="00BB065B">
      <w:pPr>
        <w:rPr>
          <w:lang w:val="en-US"/>
        </w:rPr>
      </w:pPr>
      <w:r>
        <w:rPr>
          <w:lang w:val="en-US"/>
        </w:rPr>
        <w:t>Will be presented as a poster rather than an oral presentation. It will be presented as Poster # 77 on Tuesday 15:30-17:30.</w:t>
      </w:r>
    </w:p>
    <w:p w14:paraId="3E420D32" w14:textId="4158FE06" w:rsidR="005E607D" w:rsidRPr="0040302B" w:rsidRDefault="0040302B" w:rsidP="0040302B">
      <w:pPr>
        <w:pStyle w:val="ListParagraph"/>
        <w:numPr>
          <w:ilvl w:val="0"/>
          <w:numId w:val="1"/>
        </w:numPr>
        <w:rPr>
          <w:lang w:val="en-US"/>
        </w:rPr>
      </w:pPr>
      <w:r>
        <w:rPr>
          <w:lang w:val="en-US"/>
        </w:rPr>
        <w:t xml:space="preserve">On </w:t>
      </w:r>
      <w:r w:rsidR="00EA0D80" w:rsidRPr="0040302B">
        <w:rPr>
          <w:lang w:val="en-US"/>
        </w:rPr>
        <w:t xml:space="preserve">Tuesday, </w:t>
      </w:r>
      <w:r w:rsidR="005E607D" w:rsidRPr="0040302B">
        <w:rPr>
          <w:lang w:val="en-US"/>
        </w:rPr>
        <w:t>July 14 TOXICOLOGY</w:t>
      </w:r>
      <w:r w:rsidR="00EA0D80" w:rsidRPr="0040302B">
        <w:rPr>
          <w:lang w:val="en-US"/>
        </w:rPr>
        <w:t xml:space="preserve"> </w:t>
      </w:r>
      <w:r w:rsidR="00584E3D" w:rsidRPr="0040302B">
        <w:rPr>
          <w:lang w:val="en-US"/>
        </w:rPr>
        <w:t xml:space="preserve">(Fish talks on </w:t>
      </w:r>
      <w:proofErr w:type="spellStart"/>
      <w:r w:rsidR="00584E3D" w:rsidRPr="0040302B">
        <w:rPr>
          <w:lang w:val="en-US"/>
        </w:rPr>
        <w:t>phys</w:t>
      </w:r>
      <w:proofErr w:type="spellEnd"/>
      <w:r w:rsidR="00584E3D" w:rsidRPr="0040302B">
        <w:rPr>
          <w:lang w:val="en-US"/>
        </w:rPr>
        <w:t xml:space="preserve"> tox) </w:t>
      </w:r>
      <w:r w:rsidR="00EA0D80" w:rsidRPr="0040302B">
        <w:rPr>
          <w:lang w:val="en-US"/>
        </w:rPr>
        <w:t>IRC 4</w:t>
      </w:r>
      <w:r>
        <w:rPr>
          <w:lang w:val="en-US"/>
        </w:rPr>
        <w:t>, the following presentation:</w:t>
      </w:r>
    </w:p>
    <w:tbl>
      <w:tblPr>
        <w:tblStyle w:val="TableGrid"/>
        <w:tblW w:w="0" w:type="auto"/>
        <w:tblLook w:val="04A0" w:firstRow="1" w:lastRow="0" w:firstColumn="1" w:lastColumn="0" w:noHBand="0" w:noVBand="1"/>
      </w:tblPr>
      <w:tblGrid>
        <w:gridCol w:w="1705"/>
        <w:gridCol w:w="5400"/>
        <w:gridCol w:w="2245"/>
      </w:tblGrid>
      <w:tr w:rsidR="005E607D" w:rsidRPr="006A2451" w14:paraId="2ED1E2DB" w14:textId="77777777" w:rsidTr="00E30B4C">
        <w:tc>
          <w:tcPr>
            <w:tcW w:w="1705" w:type="dxa"/>
            <w:tcBorders>
              <w:top w:val="single" w:sz="4" w:space="0" w:color="auto"/>
              <w:left w:val="single" w:sz="4" w:space="0" w:color="auto"/>
              <w:bottom w:val="single" w:sz="4" w:space="0" w:color="auto"/>
              <w:right w:val="single" w:sz="4" w:space="0" w:color="auto"/>
            </w:tcBorders>
            <w:hideMark/>
          </w:tcPr>
          <w:p w14:paraId="0D99F1EF" w14:textId="77777777" w:rsidR="005E607D" w:rsidRPr="006A2451" w:rsidRDefault="005E607D" w:rsidP="00E30B4C">
            <w:pPr>
              <w:rPr>
                <w:rFonts w:ascii="Calibri" w:hAnsi="Calibri" w:cs="Calibri"/>
                <w:sz w:val="22"/>
                <w:szCs w:val="22"/>
              </w:rPr>
            </w:pPr>
            <w:r w:rsidRPr="006A2451">
              <w:rPr>
                <w:rFonts w:ascii="Calibri" w:hAnsi="Calibri" w:cs="Calibri"/>
                <w:sz w:val="22"/>
                <w:szCs w:val="22"/>
              </w:rPr>
              <w:t>10:00</w:t>
            </w:r>
          </w:p>
        </w:tc>
        <w:tc>
          <w:tcPr>
            <w:tcW w:w="5400" w:type="dxa"/>
            <w:tcBorders>
              <w:top w:val="single" w:sz="4" w:space="0" w:color="auto"/>
              <w:left w:val="single" w:sz="4" w:space="0" w:color="auto"/>
              <w:bottom w:val="single" w:sz="4" w:space="0" w:color="auto"/>
              <w:right w:val="single" w:sz="4" w:space="0" w:color="auto"/>
            </w:tcBorders>
          </w:tcPr>
          <w:p w14:paraId="65E31DF6" w14:textId="77777777" w:rsidR="005E607D" w:rsidRPr="006A2451" w:rsidRDefault="005E607D" w:rsidP="00E30B4C">
            <w:pPr>
              <w:rPr>
                <w:rFonts w:ascii="Calibri" w:hAnsi="Calibri" w:cs="Calibri"/>
                <w:sz w:val="22"/>
                <w:szCs w:val="22"/>
              </w:rPr>
            </w:pPr>
            <w:r w:rsidRPr="006A2451">
              <w:rPr>
                <w:rFonts w:ascii="Calibri" w:hAnsi="Calibri" w:cs="Calibri"/>
                <w:color w:val="000000"/>
                <w:sz w:val="22"/>
                <w:szCs w:val="22"/>
              </w:rPr>
              <w:t>Caffeine as an emerging contaminant: behavioral and physiological effects of acute exposure in zebrafish</w:t>
            </w:r>
          </w:p>
        </w:tc>
        <w:tc>
          <w:tcPr>
            <w:tcW w:w="2245" w:type="dxa"/>
            <w:tcBorders>
              <w:top w:val="single" w:sz="4" w:space="0" w:color="auto"/>
              <w:left w:val="single" w:sz="4" w:space="0" w:color="auto"/>
              <w:bottom w:val="single" w:sz="4" w:space="0" w:color="auto"/>
              <w:right w:val="single" w:sz="4" w:space="0" w:color="auto"/>
            </w:tcBorders>
          </w:tcPr>
          <w:p w14:paraId="550152CA" w14:textId="77777777" w:rsidR="005E607D" w:rsidRPr="006A2451" w:rsidRDefault="005E607D" w:rsidP="00E30B4C">
            <w:pPr>
              <w:rPr>
                <w:rFonts w:ascii="Calibri" w:hAnsi="Calibri" w:cs="Calibri"/>
                <w:sz w:val="22"/>
                <w:szCs w:val="22"/>
              </w:rPr>
            </w:pPr>
            <w:r>
              <w:rPr>
                <w:rFonts w:ascii="Calibri" w:hAnsi="Calibri" w:cs="Calibri"/>
                <w:color w:val="000000"/>
                <w:sz w:val="22"/>
                <w:szCs w:val="22"/>
              </w:rPr>
              <w:t xml:space="preserve">Chaves </w:t>
            </w:r>
            <w:proofErr w:type="spellStart"/>
            <w:r>
              <w:rPr>
                <w:rFonts w:ascii="Calibri" w:hAnsi="Calibri" w:cs="Calibri"/>
                <w:color w:val="000000"/>
                <w:sz w:val="22"/>
                <w:szCs w:val="22"/>
              </w:rPr>
              <w:t>Morera</w:t>
            </w:r>
            <w:proofErr w:type="spellEnd"/>
            <w:r>
              <w:rPr>
                <w:rFonts w:ascii="Calibri" w:hAnsi="Calibri" w:cs="Calibri"/>
                <w:color w:val="000000"/>
                <w:sz w:val="22"/>
                <w:szCs w:val="22"/>
              </w:rPr>
              <w:t>, Victoria</w:t>
            </w:r>
          </w:p>
        </w:tc>
      </w:tr>
    </w:tbl>
    <w:p w14:paraId="1B11A22C" w14:textId="77777777" w:rsidR="005E607D" w:rsidRDefault="005E607D">
      <w:pPr>
        <w:rPr>
          <w:lang w:val="en-US"/>
        </w:rPr>
      </w:pPr>
    </w:p>
    <w:p w14:paraId="3F6CB3CB" w14:textId="5C7B67B4" w:rsidR="00584E3D" w:rsidRDefault="0040302B">
      <w:pPr>
        <w:rPr>
          <w:lang w:val="en-US"/>
        </w:rPr>
      </w:pPr>
      <w:r>
        <w:rPr>
          <w:lang w:val="en-US"/>
        </w:rPr>
        <w:t xml:space="preserve">Will be presented as a poster rather than an </w:t>
      </w:r>
      <w:r w:rsidR="00584E3D">
        <w:rPr>
          <w:lang w:val="en-US"/>
        </w:rPr>
        <w:t>oral presentation</w:t>
      </w:r>
      <w:r>
        <w:rPr>
          <w:lang w:val="en-US"/>
        </w:rPr>
        <w:t>. It will be presented as Poster # 7</w:t>
      </w:r>
      <w:r w:rsidR="00440508">
        <w:rPr>
          <w:lang w:val="en-US"/>
        </w:rPr>
        <w:t>6 on Tuesday 15:30-17:30</w:t>
      </w:r>
      <w:r>
        <w:rPr>
          <w:lang w:val="en-US"/>
        </w:rPr>
        <w:t>.</w:t>
      </w:r>
    </w:p>
    <w:p w14:paraId="6D3DDF4F" w14:textId="538F082F" w:rsidR="00AE5F04" w:rsidRPr="005A6AAD" w:rsidRDefault="00AE5F04" w:rsidP="005A6AAD">
      <w:pPr>
        <w:pStyle w:val="ListParagraph"/>
        <w:numPr>
          <w:ilvl w:val="0"/>
          <w:numId w:val="1"/>
        </w:numPr>
        <w:rPr>
          <w:lang w:val="en-US"/>
        </w:rPr>
      </w:pPr>
      <w:r w:rsidRPr="005A6AAD">
        <w:rPr>
          <w:lang w:val="en-US"/>
        </w:rPr>
        <w:t>The following posters have been added for Tuesday, July 14</w:t>
      </w:r>
      <w:r w:rsidRPr="005A6AAD">
        <w:rPr>
          <w:vertAlign w:val="superscript"/>
          <w:lang w:val="en-US"/>
        </w:rPr>
        <w:t>th</w:t>
      </w:r>
      <w:r w:rsidRPr="005A6AAD">
        <w:rPr>
          <w:lang w:val="en-US"/>
        </w:rPr>
        <w:t xml:space="preserve"> </w:t>
      </w:r>
      <w:r w:rsidR="005A6AAD">
        <w:rPr>
          <w:lang w:val="en-US"/>
        </w:rPr>
        <w:t>from 15:30-17:30</w:t>
      </w:r>
    </w:p>
    <w:p w14:paraId="5B80BD14" w14:textId="75BB2282" w:rsidR="00B21086" w:rsidRDefault="00AE5F04" w:rsidP="00614DC8">
      <w:pPr>
        <w:pStyle w:val="ListParagraph"/>
        <w:numPr>
          <w:ilvl w:val="0"/>
          <w:numId w:val="4"/>
        </w:numPr>
        <w:spacing w:after="0" w:line="240" w:lineRule="auto"/>
        <w:rPr>
          <w:rFonts w:eastAsia="Times New Roman"/>
        </w:rPr>
      </w:pPr>
      <w:r w:rsidRPr="00614DC8">
        <w:rPr>
          <w:lang w:val="en-US"/>
        </w:rPr>
        <w:t xml:space="preserve">Poster </w:t>
      </w:r>
      <w:r w:rsidR="00614DC8" w:rsidRPr="00614DC8">
        <w:rPr>
          <w:lang w:val="en-US"/>
        </w:rPr>
        <w:t>#</w:t>
      </w:r>
      <w:r w:rsidRPr="00614DC8">
        <w:rPr>
          <w:lang w:val="en-US"/>
        </w:rPr>
        <w:t>77</w:t>
      </w:r>
      <w:r w:rsidR="00E64717" w:rsidRPr="00614DC8">
        <w:rPr>
          <w:lang w:val="en-US"/>
        </w:rPr>
        <w:t xml:space="preserve"> </w:t>
      </w:r>
    </w:p>
    <w:p w14:paraId="6BC5EDD4" w14:textId="73461ED4" w:rsidR="00D84A41" w:rsidRDefault="00E64717" w:rsidP="00A84C3A">
      <w:pPr>
        <w:spacing w:after="0" w:line="240" w:lineRule="auto"/>
        <w:ind w:left="410"/>
        <w:rPr>
          <w:rFonts w:eastAsia="Times New Roman"/>
        </w:rPr>
      </w:pPr>
      <w:r w:rsidRPr="00B21086">
        <w:rPr>
          <w:rFonts w:eastAsia="Times New Roman"/>
        </w:rPr>
        <w:t>Phytogenic modulation of the cortisol</w:t>
      </w:r>
      <w:r w:rsidR="007F1B77">
        <w:rPr>
          <w:rFonts w:eastAsia="Times New Roman"/>
        </w:rPr>
        <w:t xml:space="preserve"> </w:t>
      </w:r>
      <w:r w:rsidRPr="00B21086">
        <w:rPr>
          <w:rFonts w:eastAsia="Times New Roman"/>
        </w:rPr>
        <w:t>mediated stress response and branchial Na</w:t>
      </w:r>
      <w:r w:rsidRPr="00B21086">
        <w:rPr>
          <w:rFonts w:eastAsia="Times New Roman"/>
          <w:vertAlign w:val="superscript"/>
        </w:rPr>
        <w:t>+</w:t>
      </w:r>
      <w:r w:rsidRPr="00B21086">
        <w:rPr>
          <w:rFonts w:eastAsia="Times New Roman"/>
        </w:rPr>
        <w:t>/K</w:t>
      </w:r>
      <w:r w:rsidR="009813A4" w:rsidRPr="00B21086">
        <w:rPr>
          <w:rFonts w:eastAsia="Times New Roman"/>
          <w:vertAlign w:val="superscript"/>
        </w:rPr>
        <w:t>+</w:t>
      </w:r>
      <w:r w:rsidRPr="00B21086">
        <w:rPr>
          <w:rFonts w:eastAsia="Times New Roman"/>
        </w:rPr>
        <w:t>-ATPase activity in European seabass</w:t>
      </w:r>
      <w:r w:rsidR="00B21086">
        <w:rPr>
          <w:rFonts w:eastAsia="Times New Roman"/>
        </w:rPr>
        <w:t>.</w:t>
      </w:r>
      <w:r w:rsidR="00A84C3A">
        <w:rPr>
          <w:rFonts w:eastAsia="Times New Roman"/>
        </w:rPr>
        <w:t xml:space="preserve"> </w:t>
      </w:r>
      <w:r w:rsidR="00A972E1">
        <w:rPr>
          <w:rFonts w:eastAsia="Times New Roman"/>
        </w:rPr>
        <w:t>Sara Cartan</w:t>
      </w:r>
      <w:r w:rsidR="00D84A41" w:rsidRPr="00E66E22">
        <w:rPr>
          <w:rFonts w:eastAsia="Times New Roman"/>
          <w:vertAlign w:val="superscript"/>
        </w:rPr>
        <w:t>1</w:t>
      </w:r>
      <w:r w:rsidR="00A972E1">
        <w:rPr>
          <w:rFonts w:eastAsia="Times New Roman"/>
        </w:rPr>
        <w:t xml:space="preserve">, </w:t>
      </w:r>
      <w:r w:rsidR="00B21086" w:rsidRPr="00B21086">
        <w:rPr>
          <w:rFonts w:eastAsia="Times New Roman"/>
        </w:rPr>
        <w:t>Mancera Romero, Juan Miguel</w:t>
      </w:r>
      <w:r w:rsidR="00E66E22" w:rsidRPr="00E66E22">
        <w:rPr>
          <w:rFonts w:eastAsia="Times New Roman"/>
          <w:vertAlign w:val="superscript"/>
        </w:rPr>
        <w:t>1</w:t>
      </w:r>
      <w:r w:rsidR="00D13527">
        <w:rPr>
          <w:rFonts w:eastAsia="Times New Roman"/>
        </w:rPr>
        <w:t xml:space="preserve">, </w:t>
      </w:r>
      <w:r w:rsidR="00D13527" w:rsidRPr="00B21086">
        <w:rPr>
          <w:rFonts w:eastAsia="Times New Roman"/>
        </w:rPr>
        <w:t>Jerez-Cepa, Ismael</w:t>
      </w:r>
      <w:r w:rsidR="00E66E22" w:rsidRPr="00E66E22">
        <w:rPr>
          <w:rFonts w:eastAsia="Times New Roman"/>
          <w:vertAlign w:val="superscript"/>
        </w:rPr>
        <w:t>1</w:t>
      </w:r>
      <w:r w:rsidR="00D13527">
        <w:rPr>
          <w:rFonts w:eastAsia="Times New Roman"/>
        </w:rPr>
        <w:t xml:space="preserve"> and </w:t>
      </w:r>
      <w:r w:rsidR="00D13527" w:rsidRPr="00B21086">
        <w:rPr>
          <w:rFonts w:eastAsia="Times New Roman"/>
        </w:rPr>
        <w:t>Martínez Rodríguez, Gonza</w:t>
      </w:r>
      <w:r w:rsidR="00E66E22" w:rsidRPr="00E66E22">
        <w:rPr>
          <w:rFonts w:eastAsia="Times New Roman"/>
          <w:vertAlign w:val="superscript"/>
        </w:rPr>
        <w:t>2</w:t>
      </w:r>
    </w:p>
    <w:p w14:paraId="4ECDEA3E" w14:textId="77777777" w:rsidR="00A84C3A" w:rsidRDefault="00A84C3A" w:rsidP="00A84C3A">
      <w:pPr>
        <w:spacing w:after="0" w:line="240" w:lineRule="auto"/>
        <w:ind w:left="410"/>
        <w:rPr>
          <w:rFonts w:eastAsia="Times New Roman"/>
          <w:vertAlign w:val="superscript"/>
        </w:rPr>
      </w:pPr>
    </w:p>
    <w:p w14:paraId="50FEF19B" w14:textId="6925161B" w:rsidR="000B47CC" w:rsidRDefault="00D84A41" w:rsidP="00A84C3A">
      <w:pPr>
        <w:spacing w:after="0" w:line="240" w:lineRule="auto"/>
        <w:ind w:left="410"/>
        <w:rPr>
          <w:rFonts w:eastAsia="Times New Roman"/>
        </w:rPr>
      </w:pPr>
      <w:r w:rsidRPr="00E66E22">
        <w:rPr>
          <w:rFonts w:eastAsia="Times New Roman"/>
          <w:vertAlign w:val="superscript"/>
        </w:rPr>
        <w:t>1</w:t>
      </w:r>
      <w:r w:rsidR="00B21086" w:rsidRPr="00B21086">
        <w:rPr>
          <w:rFonts w:eastAsia="Times New Roman"/>
        </w:rPr>
        <w:t>University of Cádiz,</w:t>
      </w:r>
      <w:r w:rsidR="00D13527">
        <w:rPr>
          <w:rFonts w:eastAsia="Times New Roman"/>
        </w:rPr>
        <w:t xml:space="preserve"> </w:t>
      </w:r>
      <w:r w:rsidR="00D13527" w:rsidRPr="00E66E22">
        <w:rPr>
          <w:rFonts w:eastAsia="Times New Roman"/>
          <w:vertAlign w:val="superscript"/>
        </w:rPr>
        <w:t>2</w:t>
      </w:r>
      <w:r w:rsidR="00B21086" w:rsidRPr="00B21086">
        <w:rPr>
          <w:rFonts w:eastAsia="Times New Roman"/>
        </w:rPr>
        <w:t>Institute of Marine Sciences of Andalusia</w:t>
      </w:r>
    </w:p>
    <w:p w14:paraId="0D22AB47" w14:textId="77777777" w:rsidR="00B21086" w:rsidRDefault="00B21086" w:rsidP="005A6AAD">
      <w:pPr>
        <w:spacing w:after="0" w:line="240" w:lineRule="auto"/>
        <w:ind w:left="410"/>
        <w:rPr>
          <w:rFonts w:eastAsia="Times New Roman"/>
        </w:rPr>
      </w:pPr>
    </w:p>
    <w:p w14:paraId="206E89CE" w14:textId="0B7CE236" w:rsidR="006637D8" w:rsidRDefault="000B47CC" w:rsidP="005A6AAD">
      <w:pPr>
        <w:spacing w:after="0" w:line="240" w:lineRule="auto"/>
        <w:ind w:left="410"/>
        <w:rPr>
          <w:rFonts w:eastAsia="Times New Roman"/>
        </w:rPr>
      </w:pPr>
      <w:r>
        <w:rPr>
          <w:rFonts w:eastAsia="Times New Roman"/>
        </w:rPr>
        <w:t xml:space="preserve">Abstract: </w:t>
      </w:r>
      <w:r w:rsidRPr="000B47CC">
        <w:rPr>
          <w:rFonts w:eastAsia="Times New Roman"/>
        </w:rPr>
        <w:t>Live fish transport is a critical event in aquaculture, often triggering a stress response that disrupts homeostasis and can lead to hydromineral imbalance by altering branchial Na+/K+-ATPase (NKA) activity. While the search for natural sedatives is essential for fish welfare, their addition to the water may also present osmoregulatory challenges. This study evaluated the efficacy of a phytogenic aqueous product (FEC) in modulating the stress response and NKA activity in European seabass (</w:t>
      </w:r>
      <w:proofErr w:type="spellStart"/>
      <w:r w:rsidRPr="000B47CC">
        <w:rPr>
          <w:rFonts w:eastAsia="Times New Roman"/>
        </w:rPr>
        <w:t>Dicentrarchus</w:t>
      </w:r>
      <w:proofErr w:type="spellEnd"/>
      <w:r w:rsidRPr="000B47CC">
        <w:rPr>
          <w:rFonts w:eastAsia="Times New Roman"/>
        </w:rPr>
        <w:t xml:space="preserve"> </w:t>
      </w:r>
      <w:proofErr w:type="spellStart"/>
      <w:r w:rsidRPr="000B47CC">
        <w:rPr>
          <w:rFonts w:eastAsia="Times New Roman"/>
        </w:rPr>
        <w:t>labrax</w:t>
      </w:r>
      <w:proofErr w:type="spellEnd"/>
      <w:r w:rsidRPr="000B47CC">
        <w:rPr>
          <w:rFonts w:eastAsia="Times New Roman"/>
        </w:rPr>
        <w:t xml:space="preserve">) following 1, 3, and 6 h of transport. An initial 1 h transport simulation using 2, 10, and 20 </w:t>
      </w:r>
      <w:proofErr w:type="spellStart"/>
      <w:r w:rsidRPr="000B47CC">
        <w:rPr>
          <w:rFonts w:eastAsia="Times New Roman"/>
        </w:rPr>
        <w:t>μL</w:t>
      </w:r>
      <w:proofErr w:type="spellEnd"/>
      <w:r w:rsidRPr="000B47CC">
        <w:rPr>
          <w:rFonts w:eastAsia="Times New Roman"/>
        </w:rPr>
        <w:t xml:space="preserve"> L⁻¹ of the FEC sedative identified 10 </w:t>
      </w:r>
      <w:proofErr w:type="spellStart"/>
      <w:r w:rsidRPr="000B47CC">
        <w:rPr>
          <w:rFonts w:eastAsia="Times New Roman"/>
        </w:rPr>
        <w:t>μL</w:t>
      </w:r>
      <w:proofErr w:type="spellEnd"/>
      <w:r w:rsidRPr="000B47CC">
        <w:rPr>
          <w:rFonts w:eastAsia="Times New Roman"/>
        </w:rPr>
        <w:t xml:space="preserve"> L⁻¹ as the optimal concentration for reducing brain cortisol receptor expression (nr3c1 and nr3c2). Moreover, its application did not impair NKA activity or hydromineral balance after 1 h of transport. The use of the FEC sedative during the 3- and 6-h transports effectively modulated the stress response, improved recovery (24 h post-transport), and prevented the significant disruption of NKA activity observed after 6 h of transport and subsequent recovery. Multiple correlation analysis showed that NKA activity was negatively correlated with plasma cortisol, glucose, and amino acid levels, suggesting a </w:t>
      </w:r>
      <w:r w:rsidRPr="000B47CC">
        <w:rPr>
          <w:rFonts w:eastAsia="Times New Roman"/>
        </w:rPr>
        <w:lastRenderedPageBreak/>
        <w:t xml:space="preserve">link between </w:t>
      </w:r>
      <w:proofErr w:type="spellStart"/>
      <w:r w:rsidRPr="000B47CC">
        <w:rPr>
          <w:rFonts w:eastAsia="Times New Roman"/>
        </w:rPr>
        <w:t>ionoregulatory</w:t>
      </w:r>
      <w:proofErr w:type="spellEnd"/>
      <w:r w:rsidRPr="000B47CC">
        <w:rPr>
          <w:rFonts w:eastAsia="Times New Roman"/>
        </w:rPr>
        <w:t xml:space="preserve"> stability and energy availability. Consequently, by modulating the cortisol-mediated response, this sedative helps preserve branchial NKA efficiency and contributes to osmotic balance. These findings highlight FEC as a viable strategy to enhance resilience and maintain osmoregulatory integrity in seabass during aquaculture transports.</w:t>
      </w:r>
    </w:p>
    <w:p w14:paraId="17507050" w14:textId="77777777" w:rsidR="000B47CC" w:rsidRDefault="000B47CC" w:rsidP="005A6AAD">
      <w:pPr>
        <w:spacing w:after="0" w:line="240" w:lineRule="auto"/>
        <w:ind w:left="410"/>
        <w:rPr>
          <w:rFonts w:eastAsia="Times New Roman"/>
        </w:rPr>
      </w:pPr>
    </w:p>
    <w:p w14:paraId="66F25086" w14:textId="03EE97E7" w:rsidR="00ED2C8D" w:rsidRDefault="006637D8" w:rsidP="00614DC8">
      <w:pPr>
        <w:pStyle w:val="ListParagraph"/>
        <w:numPr>
          <w:ilvl w:val="0"/>
          <w:numId w:val="4"/>
        </w:numPr>
        <w:spacing w:after="0" w:line="240" w:lineRule="auto"/>
        <w:rPr>
          <w:rFonts w:eastAsia="Times New Roman"/>
        </w:rPr>
      </w:pPr>
      <w:r w:rsidRPr="00614DC8">
        <w:rPr>
          <w:rFonts w:eastAsia="Times New Roman"/>
        </w:rPr>
        <w:t xml:space="preserve">Poster </w:t>
      </w:r>
      <w:r w:rsidR="00614DC8" w:rsidRPr="00614DC8">
        <w:rPr>
          <w:rFonts w:eastAsia="Times New Roman"/>
        </w:rPr>
        <w:t>#</w:t>
      </w:r>
      <w:r w:rsidRPr="00614DC8">
        <w:rPr>
          <w:rFonts w:eastAsia="Times New Roman"/>
        </w:rPr>
        <w:t>78</w:t>
      </w:r>
    </w:p>
    <w:p w14:paraId="5B0CDFAB" w14:textId="696BEBD8" w:rsidR="00ED2C8D" w:rsidRDefault="00E64717" w:rsidP="007F1B77">
      <w:pPr>
        <w:spacing w:after="0" w:line="240" w:lineRule="auto"/>
        <w:rPr>
          <w:rFonts w:eastAsia="Times New Roman"/>
        </w:rPr>
      </w:pPr>
      <w:r w:rsidRPr="00ED2C8D">
        <w:rPr>
          <w:rFonts w:eastAsia="Times New Roman"/>
        </w:rPr>
        <w:t>Effects of a dietary antioxidant additive on the tissue-specific oxidative status of European seabass (</w:t>
      </w:r>
      <w:proofErr w:type="spellStart"/>
      <w:r w:rsidRPr="00ED2C8D">
        <w:rPr>
          <w:rFonts w:eastAsia="Times New Roman"/>
          <w:i/>
          <w:iCs/>
        </w:rPr>
        <w:t>Dicentrarchus</w:t>
      </w:r>
      <w:proofErr w:type="spellEnd"/>
      <w:r w:rsidRPr="00ED2C8D">
        <w:rPr>
          <w:rFonts w:eastAsia="Times New Roman"/>
          <w:i/>
          <w:iCs/>
        </w:rPr>
        <w:t xml:space="preserve"> </w:t>
      </w:r>
      <w:proofErr w:type="spellStart"/>
      <w:r w:rsidRPr="00ED2C8D">
        <w:rPr>
          <w:rFonts w:eastAsia="Times New Roman"/>
          <w:i/>
          <w:iCs/>
        </w:rPr>
        <w:t>labrax</w:t>
      </w:r>
      <w:proofErr w:type="spellEnd"/>
      <w:r w:rsidRPr="00ED2C8D">
        <w:rPr>
          <w:rFonts w:eastAsia="Times New Roman"/>
        </w:rPr>
        <w:t>) reared at different stocking densities.</w:t>
      </w:r>
      <w:r w:rsidR="007F1B77">
        <w:rPr>
          <w:rFonts w:eastAsia="Times New Roman"/>
        </w:rPr>
        <w:t xml:space="preserve"> </w:t>
      </w:r>
      <w:proofErr w:type="spellStart"/>
      <w:r w:rsidR="00824EA5" w:rsidRPr="00ED2C8D">
        <w:rPr>
          <w:rFonts w:eastAsia="Times New Roman"/>
        </w:rPr>
        <w:t>Blázquez</w:t>
      </w:r>
      <w:proofErr w:type="spellEnd"/>
      <w:r w:rsidR="00824EA5" w:rsidRPr="00ED2C8D">
        <w:rPr>
          <w:rFonts w:eastAsia="Times New Roman"/>
        </w:rPr>
        <w:t>-Durán, Alejandro</w:t>
      </w:r>
      <w:r w:rsidR="00ED2C8D" w:rsidRPr="00E66E22">
        <w:rPr>
          <w:rFonts w:eastAsia="Times New Roman"/>
          <w:vertAlign w:val="superscript"/>
        </w:rPr>
        <w:t>1</w:t>
      </w:r>
      <w:r w:rsidR="00ED2C8D">
        <w:rPr>
          <w:rFonts w:eastAsia="Times New Roman"/>
        </w:rPr>
        <w:t xml:space="preserve">, </w:t>
      </w:r>
      <w:r w:rsidR="00ED2C8D" w:rsidRPr="00B21086">
        <w:rPr>
          <w:rFonts w:eastAsia="Times New Roman"/>
        </w:rPr>
        <w:t>Mancera Romero, Juan Miguel</w:t>
      </w:r>
      <w:r w:rsidR="00ED2C8D" w:rsidRPr="00E66E22">
        <w:rPr>
          <w:rFonts w:eastAsia="Times New Roman"/>
          <w:vertAlign w:val="superscript"/>
        </w:rPr>
        <w:t>1</w:t>
      </w:r>
      <w:r w:rsidR="00ED2C8D">
        <w:rPr>
          <w:rFonts w:eastAsia="Times New Roman"/>
        </w:rPr>
        <w:t xml:space="preserve">, </w:t>
      </w:r>
      <w:r w:rsidR="00C975C9" w:rsidRPr="00ED2C8D">
        <w:rPr>
          <w:rFonts w:eastAsia="Times New Roman"/>
        </w:rPr>
        <w:t>Martínez-Antequera, Francisca Purificación</w:t>
      </w:r>
      <w:r w:rsidR="00C975C9" w:rsidRPr="007F1B77">
        <w:rPr>
          <w:rFonts w:eastAsia="Times New Roman"/>
          <w:vertAlign w:val="superscript"/>
        </w:rPr>
        <w:t>2</w:t>
      </w:r>
      <w:r w:rsidR="007F1B77">
        <w:rPr>
          <w:rFonts w:eastAsia="Times New Roman"/>
        </w:rPr>
        <w:t xml:space="preserve"> and</w:t>
      </w:r>
      <w:r w:rsidR="00C975C9" w:rsidRPr="00ED2C8D">
        <w:rPr>
          <w:rFonts w:eastAsia="Times New Roman"/>
        </w:rPr>
        <w:t xml:space="preserve"> </w:t>
      </w:r>
      <w:r w:rsidR="00ED2C8D" w:rsidRPr="00B21086">
        <w:rPr>
          <w:rFonts w:eastAsia="Times New Roman"/>
        </w:rPr>
        <w:t>Jerez-Cepa, Ismael</w:t>
      </w:r>
      <w:r w:rsidR="00ED2C8D" w:rsidRPr="00E66E22">
        <w:rPr>
          <w:rFonts w:eastAsia="Times New Roman"/>
          <w:vertAlign w:val="superscript"/>
        </w:rPr>
        <w:t>1</w:t>
      </w:r>
      <w:r w:rsidR="00ED2C8D">
        <w:rPr>
          <w:rFonts w:eastAsia="Times New Roman"/>
        </w:rPr>
        <w:t xml:space="preserve"> </w:t>
      </w:r>
    </w:p>
    <w:p w14:paraId="17ED7B2A" w14:textId="77777777" w:rsidR="00ED2C8D" w:rsidRDefault="00ED2C8D" w:rsidP="00ED2C8D">
      <w:pPr>
        <w:spacing w:after="0" w:line="240" w:lineRule="auto"/>
        <w:ind w:left="410"/>
        <w:rPr>
          <w:rFonts w:eastAsia="Times New Roman"/>
          <w:vertAlign w:val="superscript"/>
        </w:rPr>
      </w:pPr>
    </w:p>
    <w:p w14:paraId="0C9ABE25" w14:textId="6276241A" w:rsidR="00ED2C8D" w:rsidRDefault="00ED2C8D" w:rsidP="00ED2C8D">
      <w:pPr>
        <w:spacing w:after="0" w:line="240" w:lineRule="auto"/>
        <w:ind w:left="410"/>
        <w:rPr>
          <w:rFonts w:eastAsia="Times New Roman"/>
        </w:rPr>
      </w:pPr>
      <w:r w:rsidRPr="00E66E22">
        <w:rPr>
          <w:rFonts w:eastAsia="Times New Roman"/>
          <w:vertAlign w:val="superscript"/>
        </w:rPr>
        <w:t>1</w:t>
      </w:r>
      <w:r w:rsidRPr="00B21086">
        <w:rPr>
          <w:rFonts w:eastAsia="Times New Roman"/>
        </w:rPr>
        <w:t>University of Cádiz,</w:t>
      </w:r>
      <w:r>
        <w:rPr>
          <w:rFonts w:eastAsia="Times New Roman"/>
        </w:rPr>
        <w:t xml:space="preserve"> </w:t>
      </w:r>
      <w:r w:rsidRPr="00E66E22">
        <w:rPr>
          <w:rFonts w:eastAsia="Times New Roman"/>
          <w:vertAlign w:val="superscript"/>
        </w:rPr>
        <w:t>2</w:t>
      </w:r>
      <w:r w:rsidR="007F1B77" w:rsidRPr="007F1B77">
        <w:rPr>
          <w:rFonts w:eastAsia="Times New Roman"/>
        </w:rPr>
        <w:t xml:space="preserve"> </w:t>
      </w:r>
      <w:r w:rsidR="007F1B77" w:rsidRPr="00ED2C8D">
        <w:rPr>
          <w:rFonts w:eastAsia="Times New Roman"/>
        </w:rPr>
        <w:t>University of Almería</w:t>
      </w:r>
    </w:p>
    <w:p w14:paraId="493D9869" w14:textId="77777777" w:rsidR="00ED2C8D" w:rsidRDefault="00ED2C8D" w:rsidP="00ED2C8D">
      <w:pPr>
        <w:spacing w:after="0" w:line="240" w:lineRule="auto"/>
        <w:rPr>
          <w:rFonts w:eastAsia="Times New Roman"/>
        </w:rPr>
      </w:pPr>
    </w:p>
    <w:p w14:paraId="6A4B4ADD" w14:textId="5295BF52" w:rsidR="00B97753" w:rsidRPr="00B97753" w:rsidRDefault="00B97753" w:rsidP="00B97753">
      <w:pPr>
        <w:spacing w:after="0" w:line="240" w:lineRule="auto"/>
        <w:rPr>
          <w:rFonts w:eastAsia="Times New Roman"/>
        </w:rPr>
      </w:pPr>
      <w:r>
        <w:rPr>
          <w:rFonts w:eastAsia="Times New Roman"/>
        </w:rPr>
        <w:t xml:space="preserve">Abstract: </w:t>
      </w:r>
      <w:r w:rsidRPr="00B97753">
        <w:rPr>
          <w:rFonts w:eastAsia="Times New Roman"/>
        </w:rPr>
        <w:t>Although high stocking densities reduce aquaculture production costs and increase profits, they often trigger chronic stress, which negatively affects fish metabolism and growth. Consequently, dietary nutraceuticals are increasingly being used to mitigate stress induced by inappropriate stocking densities and improve animal welfare. This study evaluated the efficacy of a phytogenic antioxidant additive (</w:t>
      </w:r>
      <w:proofErr w:type="spellStart"/>
      <w:r w:rsidRPr="00B97753">
        <w:rPr>
          <w:rFonts w:eastAsia="Times New Roman"/>
        </w:rPr>
        <w:t>AquaNeox</w:t>
      </w:r>
      <w:proofErr w:type="spellEnd"/>
      <w:r w:rsidRPr="00B97753">
        <w:rPr>
          <w:rFonts w:eastAsia="Times New Roman"/>
        </w:rPr>
        <w:t>) in European seabass (</w:t>
      </w:r>
      <w:proofErr w:type="spellStart"/>
      <w:r w:rsidRPr="00B97753">
        <w:rPr>
          <w:rFonts w:eastAsia="Times New Roman"/>
        </w:rPr>
        <w:t>Dicentrarchus</w:t>
      </w:r>
      <w:proofErr w:type="spellEnd"/>
      <w:r w:rsidRPr="00B97753">
        <w:rPr>
          <w:rFonts w:eastAsia="Times New Roman"/>
        </w:rPr>
        <w:t xml:space="preserve"> </w:t>
      </w:r>
      <w:proofErr w:type="spellStart"/>
      <w:r w:rsidRPr="00B97753">
        <w:rPr>
          <w:rFonts w:eastAsia="Times New Roman"/>
        </w:rPr>
        <w:t>labrax</w:t>
      </w:r>
      <w:proofErr w:type="spellEnd"/>
      <w:r w:rsidRPr="00B97753">
        <w:rPr>
          <w:rFonts w:eastAsia="Times New Roman"/>
        </w:rPr>
        <w:t>) juveniles reared under different stocking densities. Juvenile fish (105 ± 30 g initial weight) were distributed into four triplicate groups, combining two diets (control or diet supplemented with nutraceutical compound at 0.05%) and two initial stocking densities (low stocking density, LSD, 5 kg/m3; and high stocking density, HSD, 37 kg/m3). After two months of feeding to apparent satiation, fish were sampled and liver and gill were taken to assess the oxidative status. Regarding oxidative status, hepatic tissue showed no significant alterations in response to either stocking density or additive, exhibiting only non-significant fluctuations in antioxidant enzymes. In contrast, gills exhibited a distinct modulation. Although not significant, there was a general trend towards increased basal superoxide dismutase (SOD) and catalase (CAT) activities in fish receiving supplemented diet across both densities. Notably, under HSD condition, fish fed the additive exhibited a significant enhancement in gill glutathione peroxidase (</w:t>
      </w:r>
      <w:proofErr w:type="spellStart"/>
      <w:r w:rsidRPr="00B97753">
        <w:rPr>
          <w:rFonts w:eastAsia="Times New Roman"/>
        </w:rPr>
        <w:t>GPx</w:t>
      </w:r>
      <w:proofErr w:type="spellEnd"/>
      <w:r w:rsidRPr="00B97753">
        <w:rPr>
          <w:rFonts w:eastAsia="Times New Roman"/>
        </w:rPr>
        <w:t>) activity compared to fish at LSD condition. In conclusion, although there was no hepatic effect, phytogenic supplementation primed basal gill antioxidant defences, facilitating a reactive response against high-density oxidative challenges.</w:t>
      </w:r>
    </w:p>
    <w:p w14:paraId="705151E5" w14:textId="77777777" w:rsidR="006637D8" w:rsidRDefault="006637D8" w:rsidP="005A6AAD">
      <w:pPr>
        <w:spacing w:after="0" w:line="240" w:lineRule="auto"/>
        <w:ind w:left="410"/>
        <w:rPr>
          <w:rFonts w:eastAsia="Times New Roman"/>
        </w:rPr>
      </w:pPr>
    </w:p>
    <w:p w14:paraId="0C3BBC43" w14:textId="0579D5FC" w:rsidR="00284291" w:rsidRDefault="006637D8" w:rsidP="00614DC8">
      <w:pPr>
        <w:pStyle w:val="ListParagraph"/>
        <w:numPr>
          <w:ilvl w:val="0"/>
          <w:numId w:val="4"/>
        </w:numPr>
        <w:spacing w:after="0" w:line="240" w:lineRule="auto"/>
        <w:rPr>
          <w:rFonts w:eastAsia="Times New Roman"/>
        </w:rPr>
      </w:pPr>
      <w:r w:rsidRPr="00614DC8">
        <w:rPr>
          <w:rFonts w:eastAsia="Times New Roman"/>
        </w:rPr>
        <w:t>Poster #79</w:t>
      </w:r>
    </w:p>
    <w:p w14:paraId="507986C2" w14:textId="77777777" w:rsidR="00D74AEE" w:rsidRDefault="00E64717" w:rsidP="00D74AEE">
      <w:pPr>
        <w:spacing w:after="0" w:line="240" w:lineRule="auto"/>
        <w:rPr>
          <w:rFonts w:eastAsia="Times New Roman"/>
        </w:rPr>
      </w:pPr>
      <w:r w:rsidRPr="00284291">
        <w:rPr>
          <w:rFonts w:eastAsia="Times New Roman"/>
        </w:rPr>
        <w:t>Modulation of the antioxidant enzyme capabilities of European sea bass (</w:t>
      </w:r>
      <w:proofErr w:type="spellStart"/>
      <w:r w:rsidRPr="00284291">
        <w:rPr>
          <w:rFonts w:eastAsia="Times New Roman"/>
          <w:i/>
          <w:iCs/>
        </w:rPr>
        <w:t>Dicentrarchus</w:t>
      </w:r>
      <w:proofErr w:type="spellEnd"/>
      <w:r w:rsidRPr="00284291">
        <w:rPr>
          <w:rFonts w:eastAsia="Times New Roman"/>
          <w:i/>
          <w:iCs/>
        </w:rPr>
        <w:t xml:space="preserve"> </w:t>
      </w:r>
      <w:proofErr w:type="spellStart"/>
      <w:r w:rsidRPr="00284291">
        <w:rPr>
          <w:rFonts w:eastAsia="Times New Roman"/>
          <w:i/>
          <w:iCs/>
        </w:rPr>
        <w:t>labrax</w:t>
      </w:r>
      <w:proofErr w:type="spellEnd"/>
      <w:r w:rsidRPr="00284291">
        <w:rPr>
          <w:rFonts w:eastAsia="Times New Roman"/>
        </w:rPr>
        <w:t>) additive under high stocking density conditions through of a dietary relaxing phytogenic.</w:t>
      </w:r>
      <w:r w:rsidR="00D74AEE">
        <w:rPr>
          <w:rFonts w:eastAsia="Times New Roman"/>
        </w:rPr>
        <w:t xml:space="preserve"> </w:t>
      </w:r>
      <w:proofErr w:type="spellStart"/>
      <w:r w:rsidR="00D74AEE" w:rsidRPr="00ED2C8D">
        <w:rPr>
          <w:rFonts w:eastAsia="Times New Roman"/>
        </w:rPr>
        <w:t>Blázquez</w:t>
      </w:r>
      <w:proofErr w:type="spellEnd"/>
      <w:r w:rsidR="00D74AEE" w:rsidRPr="00ED2C8D">
        <w:rPr>
          <w:rFonts w:eastAsia="Times New Roman"/>
        </w:rPr>
        <w:t>-Durán, Alejandro</w:t>
      </w:r>
      <w:r w:rsidR="00D74AEE" w:rsidRPr="00E66E22">
        <w:rPr>
          <w:rFonts w:eastAsia="Times New Roman"/>
          <w:vertAlign w:val="superscript"/>
        </w:rPr>
        <w:t>1</w:t>
      </w:r>
      <w:r w:rsidR="00D74AEE">
        <w:rPr>
          <w:rFonts w:eastAsia="Times New Roman"/>
        </w:rPr>
        <w:t xml:space="preserve">, </w:t>
      </w:r>
      <w:r w:rsidR="00D74AEE" w:rsidRPr="00B21086">
        <w:rPr>
          <w:rFonts w:eastAsia="Times New Roman"/>
        </w:rPr>
        <w:t>Mancera Romero, Juan Miguel</w:t>
      </w:r>
      <w:r w:rsidR="00D74AEE" w:rsidRPr="00E66E22">
        <w:rPr>
          <w:rFonts w:eastAsia="Times New Roman"/>
          <w:vertAlign w:val="superscript"/>
        </w:rPr>
        <w:t>1</w:t>
      </w:r>
      <w:r w:rsidR="00D74AEE">
        <w:rPr>
          <w:rFonts w:eastAsia="Times New Roman"/>
        </w:rPr>
        <w:t xml:space="preserve">, </w:t>
      </w:r>
      <w:r w:rsidR="00D74AEE" w:rsidRPr="00ED2C8D">
        <w:rPr>
          <w:rFonts w:eastAsia="Times New Roman"/>
        </w:rPr>
        <w:t>Martínez-Antequera, Francisca Purificación</w:t>
      </w:r>
      <w:r w:rsidR="00D74AEE" w:rsidRPr="007F1B77">
        <w:rPr>
          <w:rFonts w:eastAsia="Times New Roman"/>
          <w:vertAlign w:val="superscript"/>
        </w:rPr>
        <w:t>2</w:t>
      </w:r>
      <w:r w:rsidR="00D74AEE">
        <w:rPr>
          <w:rFonts w:eastAsia="Times New Roman"/>
        </w:rPr>
        <w:t xml:space="preserve"> and</w:t>
      </w:r>
      <w:r w:rsidR="00D74AEE" w:rsidRPr="00ED2C8D">
        <w:rPr>
          <w:rFonts w:eastAsia="Times New Roman"/>
        </w:rPr>
        <w:t xml:space="preserve"> </w:t>
      </w:r>
      <w:r w:rsidR="00D74AEE" w:rsidRPr="00B21086">
        <w:rPr>
          <w:rFonts w:eastAsia="Times New Roman"/>
        </w:rPr>
        <w:t>Jerez-Cepa, Ismael</w:t>
      </w:r>
      <w:r w:rsidR="00D74AEE" w:rsidRPr="00E66E22">
        <w:rPr>
          <w:rFonts w:eastAsia="Times New Roman"/>
          <w:vertAlign w:val="superscript"/>
        </w:rPr>
        <w:t>1</w:t>
      </w:r>
      <w:r w:rsidR="00D74AEE">
        <w:rPr>
          <w:rFonts w:eastAsia="Times New Roman"/>
        </w:rPr>
        <w:t xml:space="preserve"> </w:t>
      </w:r>
    </w:p>
    <w:p w14:paraId="6133A794" w14:textId="77777777" w:rsidR="00D74AEE" w:rsidRDefault="00D74AEE" w:rsidP="00D74AEE">
      <w:pPr>
        <w:spacing w:after="0" w:line="240" w:lineRule="auto"/>
        <w:ind w:left="410"/>
        <w:rPr>
          <w:rFonts w:eastAsia="Times New Roman"/>
          <w:vertAlign w:val="superscript"/>
        </w:rPr>
      </w:pPr>
    </w:p>
    <w:p w14:paraId="15B0B036" w14:textId="77777777" w:rsidR="00D74AEE" w:rsidRDefault="00D74AEE" w:rsidP="00D74AEE">
      <w:pPr>
        <w:spacing w:after="0" w:line="240" w:lineRule="auto"/>
        <w:ind w:left="410"/>
        <w:rPr>
          <w:rFonts w:eastAsia="Times New Roman"/>
        </w:rPr>
      </w:pPr>
      <w:r w:rsidRPr="00E66E22">
        <w:rPr>
          <w:rFonts w:eastAsia="Times New Roman"/>
          <w:vertAlign w:val="superscript"/>
        </w:rPr>
        <w:t>1</w:t>
      </w:r>
      <w:r w:rsidRPr="00B21086">
        <w:rPr>
          <w:rFonts w:eastAsia="Times New Roman"/>
        </w:rPr>
        <w:t>University of Cádiz,</w:t>
      </w:r>
      <w:r>
        <w:rPr>
          <w:rFonts w:eastAsia="Times New Roman"/>
        </w:rPr>
        <w:t xml:space="preserve"> </w:t>
      </w:r>
      <w:r w:rsidRPr="00E66E22">
        <w:rPr>
          <w:rFonts w:eastAsia="Times New Roman"/>
          <w:vertAlign w:val="superscript"/>
        </w:rPr>
        <w:t>2</w:t>
      </w:r>
      <w:r w:rsidRPr="007F1B77">
        <w:rPr>
          <w:rFonts w:eastAsia="Times New Roman"/>
        </w:rPr>
        <w:t xml:space="preserve"> </w:t>
      </w:r>
      <w:r w:rsidRPr="00ED2C8D">
        <w:rPr>
          <w:rFonts w:eastAsia="Times New Roman"/>
        </w:rPr>
        <w:t>University of Almería</w:t>
      </w:r>
    </w:p>
    <w:p w14:paraId="2792FA41" w14:textId="77777777" w:rsidR="00284291" w:rsidRDefault="00284291" w:rsidP="00284291">
      <w:pPr>
        <w:spacing w:after="0" w:line="240" w:lineRule="auto"/>
        <w:rPr>
          <w:rFonts w:eastAsia="Times New Roman"/>
        </w:rPr>
      </w:pPr>
    </w:p>
    <w:p w14:paraId="6722BF68" w14:textId="7F73BCF8" w:rsidR="00284291" w:rsidRPr="00284291" w:rsidRDefault="00284291" w:rsidP="00284291">
      <w:pPr>
        <w:spacing w:after="0" w:line="240" w:lineRule="auto"/>
        <w:rPr>
          <w:rFonts w:eastAsia="Times New Roman"/>
        </w:rPr>
      </w:pPr>
      <w:r>
        <w:rPr>
          <w:rFonts w:eastAsia="Times New Roman"/>
        </w:rPr>
        <w:t xml:space="preserve">Abstract: </w:t>
      </w:r>
      <w:r w:rsidRPr="00284291">
        <w:rPr>
          <w:rFonts w:eastAsia="Times New Roman"/>
        </w:rPr>
        <w:t>Increased stocking densities often compromise the welfare and growth of fish. This study evaluates the effectiveness of RELAQUAX, a phytogenic relaxing additive, on antioxidant capacity of European seabass (</w:t>
      </w:r>
      <w:proofErr w:type="spellStart"/>
      <w:r w:rsidRPr="00284291">
        <w:rPr>
          <w:rFonts w:eastAsia="Times New Roman"/>
        </w:rPr>
        <w:t>Dicentrarchus</w:t>
      </w:r>
      <w:proofErr w:type="spellEnd"/>
      <w:r w:rsidRPr="00284291">
        <w:rPr>
          <w:rFonts w:eastAsia="Times New Roman"/>
        </w:rPr>
        <w:t xml:space="preserve"> </w:t>
      </w:r>
      <w:proofErr w:type="spellStart"/>
      <w:r w:rsidRPr="00284291">
        <w:rPr>
          <w:rFonts w:eastAsia="Times New Roman"/>
        </w:rPr>
        <w:t>labrax</w:t>
      </w:r>
      <w:proofErr w:type="spellEnd"/>
      <w:r w:rsidRPr="00284291">
        <w:rPr>
          <w:rFonts w:eastAsia="Times New Roman"/>
        </w:rPr>
        <w:t xml:space="preserve">). Juvenile fish (30 g initial weight) were </w:t>
      </w:r>
      <w:r w:rsidRPr="00284291">
        <w:rPr>
          <w:rFonts w:eastAsia="Times New Roman"/>
        </w:rPr>
        <w:lastRenderedPageBreak/>
        <w:t>reared during a period of 90 days in 500-L tanks under four replicate conditions: two diets (control and supplemented with RELAQUAX at 0.2%) and two stocking densities (low stocking density, LSD, 6 kg/m3; and high stocking density, HSD, 30 kg/m3). Following satiation feeding under controlled conditions, biometric data were recorded. Finally, samples were collected and analysed for antioxidant status, to determine the effectiveness of the additive in mitigating physiological impacts of HSD condition. In control group, HSD condition enhanced hepatic superoxide dismutase (SOD) activity, with no significant effect of the additive. Catalase (CAT) activity was not affected by HSD condition, but addition of RELAQUAX increased its activity, respect to animals fed a control diet under HSD condition. In the gills, the additive significantly increased basal CAT activity under LSD conditions compared to the control group. Branchial SOD increased significantly under HSD condition in the groups receiving supplemented diet. These results suggest that the additive acts as a physiological modulator that enhances enzyme activity related to redox metabolism rather than acting as a passive sedative. By stimulating basal gill CAT and stress-induced hepatic CAT, the additive optimises the antioxidant strategy and likely improves resilience to HSD condition by favouring more efficient redox homeostasis.</w:t>
      </w:r>
    </w:p>
    <w:p w14:paraId="61DB7179" w14:textId="00BE3BA4" w:rsidR="004738C8" w:rsidRDefault="004738C8">
      <w:pPr>
        <w:rPr>
          <w:lang w:val="en-US"/>
        </w:rPr>
      </w:pPr>
    </w:p>
    <w:sectPr w:rsidR="004738C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A6E5E"/>
    <w:multiLevelType w:val="hybridMultilevel"/>
    <w:tmpl w:val="C4D80E78"/>
    <w:lvl w:ilvl="0" w:tplc="1009000F">
      <w:start w:val="1"/>
      <w:numFmt w:val="decimal"/>
      <w:lvlText w:val="%1."/>
      <w:lvlJc w:val="left"/>
      <w:pPr>
        <w:ind w:left="770" w:hanging="360"/>
      </w:pPr>
    </w:lvl>
    <w:lvl w:ilvl="1" w:tplc="10090019">
      <w:start w:val="1"/>
      <w:numFmt w:val="lowerLetter"/>
      <w:lvlText w:val="%2."/>
      <w:lvlJc w:val="left"/>
      <w:pPr>
        <w:ind w:left="1490" w:hanging="360"/>
      </w:pPr>
    </w:lvl>
    <w:lvl w:ilvl="2" w:tplc="1009001B">
      <w:start w:val="1"/>
      <w:numFmt w:val="lowerRoman"/>
      <w:lvlText w:val="%3."/>
      <w:lvlJc w:val="right"/>
      <w:pPr>
        <w:ind w:left="2210" w:hanging="180"/>
      </w:pPr>
    </w:lvl>
    <w:lvl w:ilvl="3" w:tplc="1009000F">
      <w:start w:val="1"/>
      <w:numFmt w:val="decimal"/>
      <w:lvlText w:val="%4."/>
      <w:lvlJc w:val="left"/>
      <w:pPr>
        <w:ind w:left="2930" w:hanging="360"/>
      </w:pPr>
    </w:lvl>
    <w:lvl w:ilvl="4" w:tplc="10090019">
      <w:start w:val="1"/>
      <w:numFmt w:val="lowerLetter"/>
      <w:lvlText w:val="%5."/>
      <w:lvlJc w:val="left"/>
      <w:pPr>
        <w:ind w:left="3650" w:hanging="360"/>
      </w:pPr>
    </w:lvl>
    <w:lvl w:ilvl="5" w:tplc="1009001B">
      <w:start w:val="1"/>
      <w:numFmt w:val="lowerRoman"/>
      <w:lvlText w:val="%6."/>
      <w:lvlJc w:val="right"/>
      <w:pPr>
        <w:ind w:left="4370" w:hanging="180"/>
      </w:pPr>
    </w:lvl>
    <w:lvl w:ilvl="6" w:tplc="1009000F">
      <w:start w:val="1"/>
      <w:numFmt w:val="decimal"/>
      <w:lvlText w:val="%7."/>
      <w:lvlJc w:val="left"/>
      <w:pPr>
        <w:ind w:left="5090" w:hanging="360"/>
      </w:pPr>
    </w:lvl>
    <w:lvl w:ilvl="7" w:tplc="10090019">
      <w:start w:val="1"/>
      <w:numFmt w:val="lowerLetter"/>
      <w:lvlText w:val="%8."/>
      <w:lvlJc w:val="left"/>
      <w:pPr>
        <w:ind w:left="5810" w:hanging="360"/>
      </w:pPr>
    </w:lvl>
    <w:lvl w:ilvl="8" w:tplc="1009001B">
      <w:start w:val="1"/>
      <w:numFmt w:val="lowerRoman"/>
      <w:lvlText w:val="%9."/>
      <w:lvlJc w:val="right"/>
      <w:pPr>
        <w:ind w:left="6530" w:hanging="180"/>
      </w:pPr>
    </w:lvl>
  </w:abstractNum>
  <w:abstractNum w:abstractNumId="1" w15:restartNumberingAfterBreak="0">
    <w:nsid w:val="711C17FF"/>
    <w:multiLevelType w:val="hybridMultilevel"/>
    <w:tmpl w:val="456004D8"/>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7BB93895"/>
    <w:multiLevelType w:val="hybridMultilevel"/>
    <w:tmpl w:val="B33EF092"/>
    <w:lvl w:ilvl="0" w:tplc="10090001">
      <w:start w:val="1"/>
      <w:numFmt w:val="bullet"/>
      <w:lvlText w:val=""/>
      <w:lvlJc w:val="left"/>
      <w:pPr>
        <w:ind w:left="1130" w:hanging="360"/>
      </w:pPr>
      <w:rPr>
        <w:rFonts w:ascii="Symbol" w:hAnsi="Symbol" w:hint="default"/>
      </w:rPr>
    </w:lvl>
    <w:lvl w:ilvl="1" w:tplc="10090003" w:tentative="1">
      <w:start w:val="1"/>
      <w:numFmt w:val="bullet"/>
      <w:lvlText w:val="o"/>
      <w:lvlJc w:val="left"/>
      <w:pPr>
        <w:ind w:left="1850" w:hanging="360"/>
      </w:pPr>
      <w:rPr>
        <w:rFonts w:ascii="Courier New" w:hAnsi="Courier New" w:cs="Courier New" w:hint="default"/>
      </w:rPr>
    </w:lvl>
    <w:lvl w:ilvl="2" w:tplc="10090005" w:tentative="1">
      <w:start w:val="1"/>
      <w:numFmt w:val="bullet"/>
      <w:lvlText w:val=""/>
      <w:lvlJc w:val="left"/>
      <w:pPr>
        <w:ind w:left="2570" w:hanging="360"/>
      </w:pPr>
      <w:rPr>
        <w:rFonts w:ascii="Wingdings" w:hAnsi="Wingdings" w:hint="default"/>
      </w:rPr>
    </w:lvl>
    <w:lvl w:ilvl="3" w:tplc="10090001" w:tentative="1">
      <w:start w:val="1"/>
      <w:numFmt w:val="bullet"/>
      <w:lvlText w:val=""/>
      <w:lvlJc w:val="left"/>
      <w:pPr>
        <w:ind w:left="3290" w:hanging="360"/>
      </w:pPr>
      <w:rPr>
        <w:rFonts w:ascii="Symbol" w:hAnsi="Symbol" w:hint="default"/>
      </w:rPr>
    </w:lvl>
    <w:lvl w:ilvl="4" w:tplc="10090003" w:tentative="1">
      <w:start w:val="1"/>
      <w:numFmt w:val="bullet"/>
      <w:lvlText w:val="o"/>
      <w:lvlJc w:val="left"/>
      <w:pPr>
        <w:ind w:left="4010" w:hanging="360"/>
      </w:pPr>
      <w:rPr>
        <w:rFonts w:ascii="Courier New" w:hAnsi="Courier New" w:cs="Courier New" w:hint="default"/>
      </w:rPr>
    </w:lvl>
    <w:lvl w:ilvl="5" w:tplc="10090005" w:tentative="1">
      <w:start w:val="1"/>
      <w:numFmt w:val="bullet"/>
      <w:lvlText w:val=""/>
      <w:lvlJc w:val="left"/>
      <w:pPr>
        <w:ind w:left="4730" w:hanging="360"/>
      </w:pPr>
      <w:rPr>
        <w:rFonts w:ascii="Wingdings" w:hAnsi="Wingdings" w:hint="default"/>
      </w:rPr>
    </w:lvl>
    <w:lvl w:ilvl="6" w:tplc="10090001" w:tentative="1">
      <w:start w:val="1"/>
      <w:numFmt w:val="bullet"/>
      <w:lvlText w:val=""/>
      <w:lvlJc w:val="left"/>
      <w:pPr>
        <w:ind w:left="5450" w:hanging="360"/>
      </w:pPr>
      <w:rPr>
        <w:rFonts w:ascii="Symbol" w:hAnsi="Symbol" w:hint="default"/>
      </w:rPr>
    </w:lvl>
    <w:lvl w:ilvl="7" w:tplc="10090003" w:tentative="1">
      <w:start w:val="1"/>
      <w:numFmt w:val="bullet"/>
      <w:lvlText w:val="o"/>
      <w:lvlJc w:val="left"/>
      <w:pPr>
        <w:ind w:left="6170" w:hanging="360"/>
      </w:pPr>
      <w:rPr>
        <w:rFonts w:ascii="Courier New" w:hAnsi="Courier New" w:cs="Courier New" w:hint="default"/>
      </w:rPr>
    </w:lvl>
    <w:lvl w:ilvl="8" w:tplc="10090005" w:tentative="1">
      <w:start w:val="1"/>
      <w:numFmt w:val="bullet"/>
      <w:lvlText w:val=""/>
      <w:lvlJc w:val="left"/>
      <w:pPr>
        <w:ind w:left="689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07D"/>
    <w:rsid w:val="000B47CC"/>
    <w:rsid w:val="00167A23"/>
    <w:rsid w:val="00284291"/>
    <w:rsid w:val="002A446D"/>
    <w:rsid w:val="0040302B"/>
    <w:rsid w:val="00440508"/>
    <w:rsid w:val="004738C8"/>
    <w:rsid w:val="0048626C"/>
    <w:rsid w:val="004B5188"/>
    <w:rsid w:val="004D6C64"/>
    <w:rsid w:val="00584E3D"/>
    <w:rsid w:val="005A6AAD"/>
    <w:rsid w:val="005B4F69"/>
    <w:rsid w:val="005D08B0"/>
    <w:rsid w:val="005E607D"/>
    <w:rsid w:val="00614DC8"/>
    <w:rsid w:val="006637D8"/>
    <w:rsid w:val="00727565"/>
    <w:rsid w:val="007F1B77"/>
    <w:rsid w:val="00824EA5"/>
    <w:rsid w:val="009813A4"/>
    <w:rsid w:val="00997D16"/>
    <w:rsid w:val="00A84C3A"/>
    <w:rsid w:val="00A863AF"/>
    <w:rsid w:val="00A87536"/>
    <w:rsid w:val="00A972E1"/>
    <w:rsid w:val="00AE5F04"/>
    <w:rsid w:val="00B21086"/>
    <w:rsid w:val="00B97753"/>
    <w:rsid w:val="00BB065B"/>
    <w:rsid w:val="00C975C9"/>
    <w:rsid w:val="00CA3047"/>
    <w:rsid w:val="00D13527"/>
    <w:rsid w:val="00D17119"/>
    <w:rsid w:val="00D74AEE"/>
    <w:rsid w:val="00D84A41"/>
    <w:rsid w:val="00DF1772"/>
    <w:rsid w:val="00E0041C"/>
    <w:rsid w:val="00E64717"/>
    <w:rsid w:val="00E66E22"/>
    <w:rsid w:val="00EA0D80"/>
    <w:rsid w:val="00EA24AF"/>
    <w:rsid w:val="00ED2C8D"/>
    <w:rsid w:val="00FC314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58951"/>
  <w15:chartTrackingRefBased/>
  <w15:docId w15:val="{B246009C-30AD-4A39-A640-B861FAA79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60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60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60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60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60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60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60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60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60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60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60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60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60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60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60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60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60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607D"/>
    <w:rPr>
      <w:rFonts w:eastAsiaTheme="majorEastAsia" w:cstheme="majorBidi"/>
      <w:color w:val="272727" w:themeColor="text1" w:themeTint="D8"/>
    </w:rPr>
  </w:style>
  <w:style w:type="paragraph" w:styleId="Title">
    <w:name w:val="Title"/>
    <w:basedOn w:val="Normal"/>
    <w:next w:val="Normal"/>
    <w:link w:val="TitleChar"/>
    <w:uiPriority w:val="10"/>
    <w:qFormat/>
    <w:rsid w:val="005E60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60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60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60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607D"/>
    <w:pPr>
      <w:spacing w:before="160"/>
      <w:jc w:val="center"/>
    </w:pPr>
    <w:rPr>
      <w:i/>
      <w:iCs/>
      <w:color w:val="404040" w:themeColor="text1" w:themeTint="BF"/>
    </w:rPr>
  </w:style>
  <w:style w:type="character" w:customStyle="1" w:styleId="QuoteChar">
    <w:name w:val="Quote Char"/>
    <w:basedOn w:val="DefaultParagraphFont"/>
    <w:link w:val="Quote"/>
    <w:uiPriority w:val="29"/>
    <w:rsid w:val="005E607D"/>
    <w:rPr>
      <w:i/>
      <w:iCs/>
      <w:color w:val="404040" w:themeColor="text1" w:themeTint="BF"/>
    </w:rPr>
  </w:style>
  <w:style w:type="paragraph" w:styleId="ListParagraph">
    <w:name w:val="List Paragraph"/>
    <w:basedOn w:val="Normal"/>
    <w:uiPriority w:val="34"/>
    <w:qFormat/>
    <w:rsid w:val="005E607D"/>
    <w:pPr>
      <w:ind w:left="720"/>
      <w:contextualSpacing/>
    </w:pPr>
  </w:style>
  <w:style w:type="character" w:styleId="IntenseEmphasis">
    <w:name w:val="Intense Emphasis"/>
    <w:basedOn w:val="DefaultParagraphFont"/>
    <w:uiPriority w:val="21"/>
    <w:qFormat/>
    <w:rsid w:val="005E607D"/>
    <w:rPr>
      <w:i/>
      <w:iCs/>
      <w:color w:val="0F4761" w:themeColor="accent1" w:themeShade="BF"/>
    </w:rPr>
  </w:style>
  <w:style w:type="paragraph" w:styleId="IntenseQuote">
    <w:name w:val="Intense Quote"/>
    <w:basedOn w:val="Normal"/>
    <w:next w:val="Normal"/>
    <w:link w:val="IntenseQuoteChar"/>
    <w:uiPriority w:val="30"/>
    <w:qFormat/>
    <w:rsid w:val="005E60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607D"/>
    <w:rPr>
      <w:i/>
      <w:iCs/>
      <w:color w:val="0F4761" w:themeColor="accent1" w:themeShade="BF"/>
    </w:rPr>
  </w:style>
  <w:style w:type="character" w:styleId="IntenseReference">
    <w:name w:val="Intense Reference"/>
    <w:basedOn w:val="DefaultParagraphFont"/>
    <w:uiPriority w:val="32"/>
    <w:qFormat/>
    <w:rsid w:val="005E607D"/>
    <w:rPr>
      <w:b/>
      <w:bCs/>
      <w:smallCaps/>
      <w:color w:val="0F4761" w:themeColor="accent1" w:themeShade="BF"/>
      <w:spacing w:val="5"/>
    </w:rPr>
  </w:style>
  <w:style w:type="table" w:styleId="TableGrid">
    <w:name w:val="Table Grid"/>
    <w:basedOn w:val="TableNormal"/>
    <w:uiPriority w:val="39"/>
    <w:rsid w:val="005E607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3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1043</Words>
  <Characters>5946</Characters>
  <Application>Microsoft Office Word</Application>
  <DocSecurity>0</DocSecurity>
  <Lines>49</Lines>
  <Paragraphs>13</Paragraphs>
  <ScaleCrop>false</ScaleCrop>
  <Company/>
  <LinksUpToDate>false</LinksUpToDate>
  <CharactersWithSpaces>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Brauner, Colin</dc:creator>
  <cp:keywords/>
  <dc:description/>
  <cp:lastModifiedBy>Brauner, Colin</cp:lastModifiedBy>
  <cp:revision>20</cp:revision>
  <dcterms:created xsi:type="dcterms:W3CDTF">2026-07-13T04:39:00Z</dcterms:created>
  <dcterms:modified xsi:type="dcterms:W3CDTF">2026-07-13T05:02:00Z</dcterms:modified>
</cp:coreProperties>
</file>